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FD" w:rsidRDefault="005F70FD" w:rsidP="005F70FD">
      <w:pPr>
        <w:keepNext/>
        <w:spacing w:line="276" w:lineRule="auto"/>
        <w:jc w:val="center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</w:p>
    <w:p w:rsidR="00BE7562" w:rsidRPr="005F70FD" w:rsidRDefault="00BE7562" w:rsidP="005F70FD">
      <w:pPr>
        <w:keepNext/>
        <w:spacing w:line="276" w:lineRule="auto"/>
        <w:jc w:val="center"/>
        <w:rPr>
          <w:rFonts w:ascii="Garamond" w:eastAsia="Arial" w:hAnsi="Garamond" w:cs="Arial"/>
          <w:b/>
          <w:color w:val="000000"/>
          <w:sz w:val="22"/>
          <w:szCs w:val="22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>Informativa ai sensi dell’art. 13 del Regolamento UE n. 2016/679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Ai sensi dell’art.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il professionista. 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>Titolare del trattamento</w:t>
      </w:r>
    </w:p>
    <w:p w:rsidR="00BE7562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Il Titolare del trattamento è l’Avv.</w:t>
      </w:r>
      <w:r w:rsidR="00C66E4A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</w:t>
      </w:r>
      <w:r w:rsidR="00BD721A">
        <w:rPr>
          <w:rFonts w:ascii="Garamond" w:hAnsi="Garamond" w:cs="Arial"/>
          <w:color w:val="221F1F"/>
          <w:shd w:val="clear" w:color="auto" w:fill="FFFFFF"/>
          <w:lang w:eastAsia="zh-CN" w:bidi="hi-IN"/>
        </w:rPr>
        <w:t>……… con studio in…….</w:t>
      </w:r>
      <w:r w:rsidR="00C66E4A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</w:t>
      </w:r>
    </w:p>
    <w:p w:rsidR="00347FC8" w:rsidRDefault="00347FC8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</w:p>
    <w:p w:rsidR="00347FC8" w:rsidRDefault="00347FC8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347FC8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>Responsabile della protezione dei dati</w:t>
      </w:r>
    </w:p>
    <w:p w:rsidR="00347FC8" w:rsidRPr="00347FC8" w:rsidRDefault="00347FC8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>Solo se nominato</w:t>
      </w:r>
    </w:p>
    <w:p w:rsidR="00BE7562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</w:p>
    <w:p w:rsidR="00A53D3B" w:rsidRPr="00A53D3B" w:rsidRDefault="00A53D3B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A53D3B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>Informazioni generali</w:t>
      </w:r>
      <w:r w:rsidR="00347FC8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 xml:space="preserve"> (da adattare al caso concreto in riferimento ai dati trattati)</w:t>
      </w:r>
    </w:p>
    <w:p w:rsidR="00A53D3B" w:rsidRPr="00A53D3B" w:rsidRDefault="00BD721A" w:rsidP="00A53D3B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>I dati trattati dal</w:t>
      </w:r>
      <w:r w:rsidR="00A53D3B"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Titolar</w:t>
      </w: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>e</w:t>
      </w:r>
      <w:r w:rsidR="00A53D3B"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risultano essere esclusivamente quelli necessari all’assolvimento dell’incarico difensivo ricevuto dal cliente, per quanto concerne l’attività di assistenza giudiziale, ovvero quelli occorrenti al fine di procedere ad assistenza o consulenza nel quadro dell’attività stragiudiziale, ovvero ad attività di investigazioni difensive (Legge 397/00), ovvero quelli trattati nell’ambito del rapporto di lavoro con personale dipendente all’interno dello stesso studio, ovvero con collaboratori, praticanti o consulenti esterni.</w:t>
      </w:r>
    </w:p>
    <w:p w:rsidR="00A53D3B" w:rsidRPr="00A53D3B" w:rsidRDefault="00A53D3B" w:rsidP="00A53D3B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L’insieme della tipologia dei dati trattati </w:t>
      </w: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>ricomprende pertanto i seguenti</w:t>
      </w:r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dati comuni, sensibili e giudiziari relativi a clienti / fornitori / consulenti / personale amministrativo / collaboratori / praticanti:</w:t>
      </w:r>
    </w:p>
    <w:p w:rsidR="00A53D3B" w:rsidRPr="00A53D3B" w:rsidRDefault="00A53D3B" w:rsidP="00A53D3B">
      <w:pPr>
        <w:keepNext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proofErr w:type="gramStart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dati</w:t>
      </w:r>
      <w:proofErr w:type="gramEnd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comuni dei clienti, dei fornitori e di terzi ricavati da albi, elenchi pubblici, visure camerali e di fonti analoghe;</w:t>
      </w:r>
    </w:p>
    <w:p w:rsidR="00A53D3B" w:rsidRPr="00A53D3B" w:rsidRDefault="00A53D3B" w:rsidP="00A53D3B">
      <w:pPr>
        <w:keepNext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proofErr w:type="gramStart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dati</w:t>
      </w:r>
      <w:proofErr w:type="gramEnd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comuni del personale dipendente, collaboratori e praticanti necessari al rapporto di lavoro, alla reperibilità ed alla corrispondenza con gli stessi, dati richiesti ai fini fiscali, previdenziali, e di natura bancaria e postale;</w:t>
      </w:r>
    </w:p>
    <w:p w:rsidR="00A53D3B" w:rsidRPr="00A53D3B" w:rsidRDefault="00A53D3B" w:rsidP="00A53D3B">
      <w:pPr>
        <w:keepNext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proofErr w:type="gramStart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dati</w:t>
      </w:r>
      <w:proofErr w:type="gramEnd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comuni dei clienti, o dei loro familiari, dagli stessi forniti per l’espletamento degli incarichi affidati allo studio e necessari per l’espletamento di ogni tipo di attività di tutela giudiziaria,  compresi i dati sul patrimonio e sulla situazione economica, necessari per fini fiscali, redazione istanze ammissione gratuito patrocinio, oltre a quelli afferenti alla reperibilità ed alla corrispondenza con gli stessi, di natura bancaria e postale;</w:t>
      </w:r>
    </w:p>
    <w:p w:rsidR="00A53D3B" w:rsidRPr="00A53D3B" w:rsidRDefault="00A53D3B" w:rsidP="00A53D3B">
      <w:pPr>
        <w:keepNext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proofErr w:type="gramStart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dati</w:t>
      </w:r>
      <w:proofErr w:type="gramEnd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comuni di terzi, forniti dai clienti per l’espletamento degli incarichi affidati allo studio e necessari per l’espletamento di ogni tipo di attività di tutela giudiziaria,  compresi i dati sul patrimonio e sulla situazione economica, necessari per fini fiscali, oltre a quelli afferenti alla reperibilità ed alla corrispondenza con gli stessi, di natura bancaria e postale;</w:t>
      </w:r>
    </w:p>
    <w:p w:rsidR="00A53D3B" w:rsidRPr="00A53D3B" w:rsidRDefault="00A53D3B" w:rsidP="00A53D3B">
      <w:pPr>
        <w:keepNext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proofErr w:type="gramStart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dati</w:t>
      </w:r>
      <w:proofErr w:type="gramEnd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comuni dei fornitori concernenti la reperibilità e la corrispondenza con gli stessi, nonché inerenti ai fini fiscali e dati di natura bancaria e postale;</w:t>
      </w:r>
    </w:p>
    <w:p w:rsidR="00A53D3B" w:rsidRPr="00A53D3B" w:rsidRDefault="00A53D3B" w:rsidP="00A53D3B">
      <w:pPr>
        <w:keepNext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Garamond" w:hAnsi="Garamond" w:cs="Arial"/>
          <w:bCs/>
          <w:color w:val="221F1F"/>
          <w:shd w:val="clear" w:color="auto" w:fill="FFFFFF"/>
          <w:lang w:eastAsia="zh-CN" w:bidi="hi-IN"/>
        </w:rPr>
      </w:pPr>
      <w:proofErr w:type="gramStart"/>
      <w:r w:rsidRPr="00A53D3B">
        <w:rPr>
          <w:rFonts w:ascii="Garamond" w:hAnsi="Garamond" w:cs="Arial"/>
          <w:bCs/>
          <w:color w:val="221F1F"/>
          <w:shd w:val="clear" w:color="auto" w:fill="FFFFFF"/>
          <w:lang w:eastAsia="zh-CN" w:bidi="hi-IN"/>
        </w:rPr>
        <w:t>dati</w:t>
      </w:r>
      <w:proofErr w:type="gramEnd"/>
      <w:r w:rsidRPr="00A53D3B">
        <w:rPr>
          <w:rFonts w:ascii="Garamond" w:hAnsi="Garamond" w:cs="Arial"/>
          <w:bCs/>
          <w:color w:val="221F1F"/>
          <w:shd w:val="clear" w:color="auto" w:fill="FFFFFF"/>
          <w:lang w:eastAsia="zh-CN" w:bidi="hi-IN"/>
        </w:rPr>
        <w:t xml:space="preserve"> comuni di altri professionisti ai quali lo studio affida incarichi e si rivolge per consulenze, quali quelli concernenti la reperibilità e la corrispondenza con gli stessi, inerenti a finalità fiscali, di natura bancaria e postale;</w:t>
      </w:r>
    </w:p>
    <w:p w:rsidR="00A53D3B" w:rsidRPr="00A53D3B" w:rsidRDefault="00A53D3B" w:rsidP="00A53D3B">
      <w:pPr>
        <w:keepNext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proofErr w:type="gramStart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lastRenderedPageBreak/>
        <w:t>dati</w:t>
      </w:r>
      <w:proofErr w:type="gramEnd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sensibili e giudiziari del personale dipendente, conseguenti al rapporto di lavoro, e inerenti i rapporti con gli enti previdenziali ed assistenziali; </w:t>
      </w:r>
    </w:p>
    <w:p w:rsidR="00A53D3B" w:rsidRPr="00A53D3B" w:rsidRDefault="00A53D3B" w:rsidP="00A53D3B">
      <w:pPr>
        <w:keepNext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proofErr w:type="gramStart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dati</w:t>
      </w:r>
      <w:proofErr w:type="gramEnd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giudiziari dei clienti, idonei a rivelare i provvedimenti di cui all'art. 3 DPR nr. 313/2002, e idonei a rivelare la qualità di imputato e indagato;</w:t>
      </w:r>
    </w:p>
    <w:p w:rsidR="00A53D3B" w:rsidRPr="00A53D3B" w:rsidRDefault="00A53D3B" w:rsidP="00A53D3B">
      <w:pPr>
        <w:keepNext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proofErr w:type="gramStart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dati</w:t>
      </w:r>
      <w:proofErr w:type="gramEnd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giudiziari di terzi idonei a rivelare i provvedimenti di cui all'art. 3 DPR nr. 313/2002, e idonei a rivelare la qualità di imputato e indagato;</w:t>
      </w:r>
    </w:p>
    <w:p w:rsidR="00A53D3B" w:rsidRPr="00A53D3B" w:rsidRDefault="00A53D3B" w:rsidP="00A53D3B">
      <w:pPr>
        <w:keepNext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proofErr w:type="gramStart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dati</w:t>
      </w:r>
      <w:proofErr w:type="gramEnd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sensibili dei clienti, dagli stessi forniti o comunque acquisiti per l’espletamento degli incarichi affidati allo studio, idonei a rivelare l’origine razziale ed etnica, le convinzioni e l’adesione ad organizzazioni a carattere religioso, politico, sindacale e filosofico, lo stato di salute e la vita sessuale;</w:t>
      </w:r>
    </w:p>
    <w:p w:rsidR="00A53D3B" w:rsidRDefault="00A53D3B" w:rsidP="00A53D3B">
      <w:pPr>
        <w:keepNext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proofErr w:type="gramStart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dati</w:t>
      </w:r>
      <w:proofErr w:type="gramEnd"/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sensibili di terzi, forniti dai clienti o comunque acquisiti per l’espletamento degli incarichi affidati allo studio, idonei a rivelare lo stato di salute o la vita sessuale.</w:t>
      </w:r>
    </w:p>
    <w:p w:rsidR="00A53D3B" w:rsidRDefault="00A53D3B" w:rsidP="00A53D3B">
      <w:pPr>
        <w:keepNext/>
        <w:tabs>
          <w:tab w:val="num" w:pos="900"/>
        </w:tabs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I dati personali forniti daranno oggetto di raccolta, registrazione, organizzazione, strutturazione, conservazione, adattamento o modifica, estrazione, consultazione, uso, comunicazione mediante trasmissione, limitazione, cancellazione o distruzione.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>Finalità del trattamento</w:t>
      </w:r>
    </w:p>
    <w:p w:rsidR="00BE7562" w:rsidRDefault="00116C6C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Il trattamento è necessario all’esecuzione di un contratto di cui l’interessato è parte o all’esecuzione di </w:t>
      </w:r>
      <w:proofErr w:type="gramStart"/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>misure</w:t>
      </w:r>
      <w:proofErr w:type="gramEnd"/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precontrattuali adottate su richiesta dello stesso.</w:t>
      </w:r>
      <w:r w:rsidR="00BE7562"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</w:t>
      </w:r>
      <w:r w:rsid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Il trattamento dei dati è finalizzato unicamente alla corretta e completa esecuzione dell’incarico professionale ricevuto, sia in ambito stragiudiziale che giudiziale. I dati potranno essere trattati anche </w:t>
      </w:r>
      <w:r w:rsidR="00A53D3B"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per esigere l’adempimento degli obblighi previsti dalla legge, da regolamenti, dalla normativa comunitaria (tra cui a titolo esemplificativo e non esaustivo, obblighi in materia di antiriciclaggio, usura, prevenzione delle frodi, accertamenti fiscali e tributari) nonché connessi agli obblighi derivanti da disposizioni impartite da autorità giudiziarie, da funzionari amministrativi o da organi di polizia (quali, a tolo esemplificativo, funzionari della Guardia di Finanza) a ciò legittimati dalla legge o da organi di vigilanza e di controllo</w:t>
      </w:r>
      <w:r w:rsid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.</w:t>
      </w:r>
    </w:p>
    <w:p w:rsidR="00715B1A" w:rsidRDefault="00715B1A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</w:p>
    <w:p w:rsidR="00715B1A" w:rsidRPr="00715B1A" w:rsidRDefault="00715B1A" w:rsidP="00715B1A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715B1A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>Conferimento dati personali</w:t>
      </w:r>
    </w:p>
    <w:p w:rsidR="00715B1A" w:rsidRPr="00715B1A" w:rsidRDefault="00715B1A" w:rsidP="00715B1A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715B1A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Il conferimento dei dati personali per le finalità che precedono è obbligatorio per le finalità indicate e l’eventuale rifiuto di fornirli comporta l’impossibilità per il professionista incaricato di adempiere agli obblighi previsti dalle legge e di dare esecuzione al mandato conferito. Il consenso al trattamento dei dati avviene mediante la sottoscrizione del mandato dopo aver letto la presente informativa. Il trattamento su indicato è lecito in quanto ricorre la condizione di cui all’art. 6.1 lettera a) ed b) del Regolamento U.E. n. 679/16. Gli interessati si assumono la responsabilità di cui all’art. 26 della legge 4 gennaio 1968, n. 15, nonché dell’art.6 del D.P.R. 20 ottobre 1998 n. 403 in ipotesi di falsità in atti e dichiarazioni mendaci.    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Il trattamento sarà svolto in forma automatizzata e/o manuale, nel rispetto di quanto previsto dall’art. 32 del GDPR 2016/679 in materia di misure di sicurezza, ad opera di soggetti appositamente incaricati e in ottemperanza a quanto previsto dall’art. 29 GDPR 2016/ 679.</w:t>
      </w:r>
    </w:p>
    <w:p w:rsidR="00BE7562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Le segnaliamo che, nel rispetto dei principi di liceità, limitazione delle finalità e minimizzazione dei dati, ai sensi dell’art. 5 GDPR 2016/679, </w:t>
      </w:r>
      <w:r w:rsid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i</w:t>
      </w:r>
      <w:r w:rsidR="00A53D3B"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dati ve</w:t>
      </w:r>
      <w:r w:rsid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>rranno</w:t>
      </w:r>
      <w:r w:rsidR="00A53D3B"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conservati per il tempo strettamente necessario all’adempimento delle finalità per cui sono stati raccolti, nel rispetto dei termini prescrizionali o dei </w:t>
      </w:r>
      <w:r w:rsidR="00A53D3B" w:rsidRPr="00A53D3B">
        <w:rPr>
          <w:rFonts w:ascii="Garamond" w:hAnsi="Garamond" w:cs="Arial"/>
          <w:color w:val="221F1F"/>
          <w:shd w:val="clear" w:color="auto" w:fill="FFFFFF"/>
          <w:lang w:eastAsia="zh-CN" w:bidi="hi-IN"/>
        </w:rPr>
        <w:lastRenderedPageBreak/>
        <w:t>diversi termini eventualmente stabiliti dalla legge per la relativa conservazione o, per un tempo maggiore, nel caso in cui sia necessario conservarli per esigenze di tutela dei diritti del Titolare</w:t>
      </w:r>
      <w:r w:rsid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. </w:t>
      </w:r>
      <w:r w:rsidR="0043475D">
        <w:rPr>
          <w:rFonts w:ascii="Garamond" w:hAnsi="Garamond" w:cs="Arial"/>
          <w:color w:val="221F1F"/>
          <w:shd w:val="clear" w:color="auto" w:fill="FFFFFF"/>
          <w:lang w:eastAsia="zh-CN" w:bidi="hi-IN"/>
        </w:rPr>
        <w:t>I dati dovranno essere conservati fino a quando non sia prescritta un’eventuale azione di responsabilità professionale non sia prescritta.</w:t>
      </w:r>
    </w:p>
    <w:p w:rsidR="004B580F" w:rsidRPr="005F70FD" w:rsidRDefault="004B580F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Il titolare non adotta nessun processo decisionale automatizzato, compresa la </w:t>
      </w:r>
      <w:proofErr w:type="spellStart"/>
      <w:r w:rsidRP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>profilazione</w:t>
      </w:r>
      <w:proofErr w:type="spellEnd"/>
      <w:r w:rsidRP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di cui all’art. 22 paragrafi 1 e 4 Regolamento U.E. n. 679/16. I Dati sono trattati presso le sedi operative del Titolare ed in ogni altro luogo in cui le parti coinvolte nel trattamento siano localizzate. Per ulteriori informazioni, contatta il Titolare.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>Ambito di comunicazione e diffusione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>Trasferimento dei dati personali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:rsidR="00BE7562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Ai sensi degli articoli 9 e 10 del Regolamento UE n. 2016/679, Lei potrebbe conferire al professionista dati qualificabili come “categorie particolari di dati personali” e cioè quei dati che rivelano “</w:t>
      </w:r>
      <w:r w:rsidRPr="005F70FD">
        <w:rPr>
          <w:rFonts w:ascii="Garamond" w:hAnsi="Garamond" w:cs="Arial"/>
          <w:i/>
          <w:color w:val="221F1F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”. </w:t>
      </w:r>
      <w:r w:rsidR="004B580F" w:rsidRP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Il trattamento </w:t>
      </w:r>
      <w:r w:rsid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di tali dati </w:t>
      </w:r>
      <w:r w:rsidR="004B580F" w:rsidRP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>è necessario per assolvere gli obblighi derivanti dal conferimento dell’incarico e per la natura della prestazione ric</w:t>
      </w:r>
      <w:r w:rsidR="00CA33BB">
        <w:rPr>
          <w:rFonts w:ascii="Garamond" w:hAnsi="Garamond" w:cs="Arial"/>
          <w:color w:val="221F1F"/>
          <w:shd w:val="clear" w:color="auto" w:fill="FFFFFF"/>
          <w:lang w:eastAsia="zh-CN" w:bidi="hi-IN"/>
        </w:rPr>
        <w:t>hiesta, ed anche per esercitare</w:t>
      </w:r>
      <w:r w:rsid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di</w:t>
      </w:r>
      <w:r w:rsidR="004B580F" w:rsidRP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>ritti specifici del titolare d</w:t>
      </w:r>
      <w:r w:rsid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el trattamento. </w:t>
      </w:r>
      <w:r w:rsidR="0043475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Il trattamento delle categorie particolari di dati è legittimo e consentito secondo quanto previsto dall’art. 9.2 </w:t>
      </w:r>
      <w:proofErr w:type="spellStart"/>
      <w:r w:rsidR="0043475D">
        <w:rPr>
          <w:rFonts w:ascii="Garamond" w:hAnsi="Garamond" w:cs="Arial"/>
          <w:color w:val="221F1F"/>
          <w:shd w:val="clear" w:color="auto" w:fill="FFFFFF"/>
          <w:lang w:eastAsia="zh-CN" w:bidi="hi-IN"/>
        </w:rPr>
        <w:t>lett</w:t>
      </w:r>
      <w:proofErr w:type="spellEnd"/>
      <w:r w:rsidR="0043475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f). </w:t>
      </w:r>
      <w:r w:rsid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>Il trattamento sarà</w:t>
      </w:r>
      <w:r w:rsidR="004B580F" w:rsidRP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effettuato, nell’ambito delle legittime attività e con adeguate garanzie dal titolare del trattamento</w:t>
      </w:r>
      <w:r w:rsidR="00347FC8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. </w:t>
      </w:r>
    </w:p>
    <w:p w:rsidR="00347FC8" w:rsidRPr="005F70FD" w:rsidRDefault="00347FC8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>Diritti dell’interessato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In ogni momento, Lei potrà esercitare, ai sensi degli articoli dal 15 al 22 del Regolamento UE n. 2016/679, il diritto di:</w:t>
      </w:r>
    </w:p>
    <w:p w:rsidR="00BE7562" w:rsidRPr="005F70FD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a)</w:t>
      </w: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BE7562" w:rsidRPr="005F70FD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BE7562" w:rsidRPr="005F70FD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c) </w:t>
      </w: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  <w:t>ottenere la rettifica e la cancellazione dei dati;</w:t>
      </w:r>
    </w:p>
    <w:p w:rsidR="00BE7562" w:rsidRPr="005F70FD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d)</w:t>
      </w: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ab/>
        <w:t>ottenere la limitazione del trattamento;</w:t>
      </w:r>
    </w:p>
    <w:p w:rsidR="00BE7562" w:rsidRPr="005F70FD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BE7562" w:rsidRPr="005F70FD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:rsidR="00BE7562" w:rsidRPr="005F70FD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lastRenderedPageBreak/>
        <w:t xml:space="preserve">g)   opporsi ad un processo decisionale automatizzato relativo alle persone </w:t>
      </w:r>
      <w:proofErr w:type="spellStart"/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ﬁsiche</w:t>
      </w:r>
      <w:proofErr w:type="spellEnd"/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, compresa la </w:t>
      </w:r>
      <w:proofErr w:type="spellStart"/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profilazione</w:t>
      </w:r>
      <w:proofErr w:type="spellEnd"/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.</w:t>
      </w:r>
    </w:p>
    <w:p w:rsidR="00BE7562" w:rsidRPr="005F70FD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BE7562" w:rsidRPr="005F70FD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:rsidR="00BE7562" w:rsidRPr="005F70FD" w:rsidRDefault="00BE7562" w:rsidP="00BE7562">
      <w:pPr>
        <w:keepNext/>
        <w:spacing w:line="276" w:lineRule="auto"/>
        <w:ind w:left="720" w:hanging="360"/>
        <w:contextualSpacing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j)    proporre reclamo a un’autorità di controllo.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</w:t>
      </w:r>
    </w:p>
    <w:p w:rsidR="004B580F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Può esercitare i Suoi diritti </w:t>
      </w:r>
      <w:r w:rsid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>con richiesta scritta inviata</w:t>
      </w: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all'indirizzo postale della sede </w:t>
      </w:r>
      <w:r w:rsid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dello studio </w:t>
      </w: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legale o all’indirizzo mail</w:t>
      </w:r>
      <w:r w:rsidR="004B580F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</w:t>
      </w:r>
      <w:r w:rsidR="00BD721A">
        <w:rPr>
          <w:rFonts w:ascii="Garamond" w:hAnsi="Garamond" w:cs="Arial"/>
          <w:color w:val="221F1F"/>
          <w:shd w:val="clear" w:color="auto" w:fill="FFFFFF"/>
          <w:lang w:eastAsia="zh-CN" w:bidi="hi-IN"/>
        </w:rPr>
        <w:t>……………………….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:rsidR="00BE7562" w:rsidRPr="005F70FD" w:rsidRDefault="00CA33BB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>Il sottoscritto/a _________________</w:t>
      </w:r>
      <w:bookmarkStart w:id="0" w:name="_GoBack"/>
      <w:bookmarkEnd w:id="0"/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>dichiara</w:t>
      </w:r>
      <w:r w:rsidR="00BE7562"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di aver</w:t>
      </w:r>
      <w:r w:rsidR="0043475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preso visione del</w:t>
      </w:r>
      <w:r w:rsidR="00BE7562"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>l’informativa che precede.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 w:rsidRPr="005F70FD">
        <w:rPr>
          <w:rFonts w:ascii="Garamond" w:hAnsi="Garamond" w:cs="Arial"/>
          <w:color w:val="221F1F"/>
          <w:shd w:val="clear" w:color="auto" w:fill="FFFFFF"/>
          <w:lang w:eastAsia="zh-CN" w:bidi="hi-IN"/>
        </w:rPr>
        <w:t xml:space="preserve"> </w:t>
      </w:r>
    </w:p>
    <w:p w:rsidR="00BE7562" w:rsidRPr="005F70FD" w:rsidRDefault="00BD721A" w:rsidP="00BE7562">
      <w:pPr>
        <w:keepNext/>
        <w:spacing w:line="276" w:lineRule="auto"/>
        <w:jc w:val="both"/>
        <w:rPr>
          <w:rFonts w:ascii="Garamond" w:hAnsi="Garamond" w:cs="Arial"/>
          <w:color w:val="221F1F"/>
          <w:shd w:val="clear" w:color="auto" w:fill="FFFFFF"/>
          <w:lang w:eastAsia="zh-CN" w:bidi="hi-IN"/>
        </w:rPr>
      </w:pPr>
      <w:r>
        <w:rPr>
          <w:rFonts w:ascii="Garamond" w:hAnsi="Garamond" w:cs="Arial"/>
          <w:color w:val="221F1F"/>
          <w:shd w:val="clear" w:color="auto" w:fill="FFFFFF"/>
          <w:lang w:eastAsia="zh-CN" w:bidi="hi-IN"/>
        </w:rPr>
        <w:t>Luogo e data</w:t>
      </w: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eastAsia="Arial" w:hAnsi="Garamond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eastAsia="Arial" w:hAnsi="Garamond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BE7562" w:rsidRPr="005F70FD" w:rsidRDefault="00BE7562" w:rsidP="00BE7562">
      <w:pPr>
        <w:keepNext/>
        <w:spacing w:line="276" w:lineRule="auto"/>
        <w:jc w:val="both"/>
        <w:rPr>
          <w:rFonts w:ascii="Garamond" w:eastAsia="Arial" w:hAnsi="Garamond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BE7562" w:rsidRPr="005F70FD" w:rsidRDefault="00BE7562" w:rsidP="00BE7562">
      <w:pPr>
        <w:widowControl w:val="0"/>
        <w:spacing w:line="100" w:lineRule="atLeast"/>
        <w:jc w:val="both"/>
        <w:rPr>
          <w:rFonts w:ascii="Garamond" w:hAnsi="Garamond" w:cs="Arial"/>
        </w:rPr>
      </w:pPr>
    </w:p>
    <w:p w:rsidR="00BE7562" w:rsidRPr="005F70FD" w:rsidRDefault="00116C6C" w:rsidP="00116C6C">
      <w:pPr>
        <w:widowControl w:val="0"/>
        <w:tabs>
          <w:tab w:val="left" w:pos="6195"/>
        </w:tabs>
        <w:spacing w:line="100" w:lineRule="atLeast"/>
        <w:rPr>
          <w:rFonts w:ascii="Garamond" w:eastAsia="Andale Sans UI" w:hAnsi="Garamond" w:cs="Arial"/>
          <w:kern w:val="1"/>
          <w:sz w:val="44"/>
          <w:szCs w:val="44"/>
          <w:lang w:eastAsia="fa-IR" w:bidi="fa-IR"/>
        </w:rPr>
      </w:pPr>
      <w:r>
        <w:rPr>
          <w:rFonts w:ascii="Garamond" w:eastAsia="Andale Sans UI" w:hAnsi="Garamond" w:cs="Arial"/>
          <w:kern w:val="1"/>
          <w:sz w:val="44"/>
          <w:szCs w:val="44"/>
          <w:lang w:eastAsia="fa-IR" w:bidi="fa-IR"/>
        </w:rPr>
        <w:tab/>
        <w:t>______________</w:t>
      </w:r>
    </w:p>
    <w:p w:rsidR="0065004A" w:rsidRPr="005F70FD" w:rsidRDefault="0065004A">
      <w:pPr>
        <w:rPr>
          <w:rFonts w:ascii="Garamond" w:hAnsi="Garamond"/>
        </w:rPr>
      </w:pPr>
    </w:p>
    <w:sectPr w:rsidR="0065004A" w:rsidRPr="005F70FD" w:rsidSect="004F7613">
      <w:headerReference w:type="default" r:id="rId7"/>
      <w:footerReference w:type="default" r:id="rId8"/>
      <w:pgSz w:w="11900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31" w:rsidRDefault="004B7531" w:rsidP="00BE7562">
      <w:r>
        <w:separator/>
      </w:r>
    </w:p>
  </w:endnote>
  <w:endnote w:type="continuationSeparator" w:id="0">
    <w:p w:rsidR="004B7531" w:rsidRDefault="004B7531" w:rsidP="00BE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DB" w:rsidRDefault="00CA33BB">
    <w:pPr>
      <w:pStyle w:val="Pidipagina"/>
      <w:jc w:val="center"/>
      <w:rPr>
        <w:rFonts w:ascii="Garamond" w:hAnsi="Garamond"/>
        <w:b/>
        <w:sz w:val="20"/>
      </w:rPr>
    </w:pPr>
  </w:p>
  <w:p w:rsidR="00DC62DB" w:rsidRDefault="00460987">
    <w:pPr>
      <w:pStyle w:val="Pidipagina"/>
      <w:jc w:val="center"/>
    </w:pPr>
    <w:r>
      <w:rPr>
        <w:b/>
        <w:color w:val="1F497D"/>
        <w:sz w:val="20"/>
      </w:rPr>
      <w:fldChar w:fldCharType="begin"/>
    </w:r>
    <w:r w:rsidR="00DD50D6">
      <w:rPr>
        <w:b/>
        <w:color w:val="1F497D"/>
        <w:sz w:val="20"/>
      </w:rPr>
      <w:instrText xml:space="preserve"> PAGE </w:instrText>
    </w:r>
    <w:r>
      <w:rPr>
        <w:b/>
        <w:color w:val="1F497D"/>
        <w:sz w:val="20"/>
      </w:rPr>
      <w:fldChar w:fldCharType="separate"/>
    </w:r>
    <w:r w:rsidR="00CA33BB">
      <w:rPr>
        <w:b/>
        <w:noProof/>
        <w:color w:val="1F497D"/>
        <w:sz w:val="20"/>
      </w:rPr>
      <w:t>4</w:t>
    </w:r>
    <w:r>
      <w:rPr>
        <w:b/>
        <w:color w:val="1F497D"/>
        <w:sz w:val="20"/>
      </w:rPr>
      <w:fldChar w:fldCharType="end"/>
    </w:r>
  </w:p>
  <w:p w:rsidR="00DC62DB" w:rsidRDefault="00CA33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31" w:rsidRDefault="004B7531" w:rsidP="00BE7562">
      <w:r>
        <w:separator/>
      </w:r>
    </w:p>
  </w:footnote>
  <w:footnote w:type="continuationSeparator" w:id="0">
    <w:p w:rsidR="004B7531" w:rsidRDefault="004B7531" w:rsidP="00BE7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1" w:type="dxa"/>
      <w:tblLayout w:type="fixed"/>
      <w:tblLook w:val="0000" w:firstRow="0" w:lastRow="0" w:firstColumn="0" w:lastColumn="0" w:noHBand="0" w:noVBand="0"/>
    </w:tblPr>
    <w:tblGrid>
      <w:gridCol w:w="4889"/>
      <w:gridCol w:w="5039"/>
    </w:tblGrid>
    <w:tr w:rsidR="00DC62DB">
      <w:tc>
        <w:tcPr>
          <w:tcW w:w="4889" w:type="dxa"/>
        </w:tcPr>
        <w:p w:rsidR="00DC62DB" w:rsidRDefault="00CA33BB">
          <w:pPr>
            <w:snapToGrid w:val="0"/>
            <w:rPr>
              <w:rFonts w:ascii="Cambria" w:hAnsi="Cambria"/>
              <w:b/>
              <w:i/>
              <w:color w:val="3366CC"/>
              <w:sz w:val="20"/>
            </w:rPr>
          </w:pPr>
        </w:p>
      </w:tc>
      <w:tc>
        <w:tcPr>
          <w:tcW w:w="5039" w:type="dxa"/>
          <w:vAlign w:val="center"/>
        </w:tcPr>
        <w:p w:rsidR="00DC62DB" w:rsidRDefault="00CA33BB">
          <w:pPr>
            <w:jc w:val="center"/>
            <w:rPr>
              <w:rFonts w:ascii="Cambria" w:hAnsi="Cambria"/>
              <w:b/>
              <w:i/>
              <w:color w:val="3366CC"/>
              <w:sz w:val="20"/>
            </w:rPr>
          </w:pPr>
        </w:p>
      </w:tc>
    </w:tr>
  </w:tbl>
  <w:p w:rsidR="00DC62DB" w:rsidRDefault="00CA33BB">
    <w:pPr>
      <w:rPr>
        <w:rFonts w:ascii="Times" w:hAnsi="Times"/>
        <w:bCs/>
        <w:color w:val="0000FF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07CD9"/>
    <w:multiLevelType w:val="hybridMultilevel"/>
    <w:tmpl w:val="DFE62A78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62"/>
    <w:rsid w:val="00116C6C"/>
    <w:rsid w:val="001C47CA"/>
    <w:rsid w:val="00281951"/>
    <w:rsid w:val="002F09F3"/>
    <w:rsid w:val="00347FC8"/>
    <w:rsid w:val="00385F6D"/>
    <w:rsid w:val="0043475D"/>
    <w:rsid w:val="0045163F"/>
    <w:rsid w:val="00460987"/>
    <w:rsid w:val="004B580F"/>
    <w:rsid w:val="004B7531"/>
    <w:rsid w:val="004C3A11"/>
    <w:rsid w:val="004F7613"/>
    <w:rsid w:val="005017DD"/>
    <w:rsid w:val="005F70FD"/>
    <w:rsid w:val="00607FAB"/>
    <w:rsid w:val="0065004A"/>
    <w:rsid w:val="00715B1A"/>
    <w:rsid w:val="00770BCE"/>
    <w:rsid w:val="00A03CC3"/>
    <w:rsid w:val="00A53D3B"/>
    <w:rsid w:val="00A9702A"/>
    <w:rsid w:val="00B7123F"/>
    <w:rsid w:val="00BD721A"/>
    <w:rsid w:val="00BE7562"/>
    <w:rsid w:val="00C27F7E"/>
    <w:rsid w:val="00C66E4A"/>
    <w:rsid w:val="00CA33BB"/>
    <w:rsid w:val="00D42CEF"/>
    <w:rsid w:val="00D8673C"/>
    <w:rsid w:val="00DD50D6"/>
    <w:rsid w:val="00DE7E8C"/>
    <w:rsid w:val="00E50B25"/>
    <w:rsid w:val="00EC654C"/>
    <w:rsid w:val="00F36988"/>
    <w:rsid w:val="00F453B7"/>
    <w:rsid w:val="00F5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576D7-DBD6-40C2-82FE-9CAD7191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bCs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562"/>
    <w:pPr>
      <w:suppressAutoHyphens/>
      <w:spacing w:after="0" w:line="240" w:lineRule="auto"/>
    </w:pPr>
    <w:rPr>
      <w:rFonts w:ascii="Calibri" w:eastAsia="Calibri" w:hAnsi="Calibri" w:cs="Calibri"/>
      <w:bCs w:val="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E7562"/>
  </w:style>
  <w:style w:type="character" w:customStyle="1" w:styleId="PidipaginaCarattere">
    <w:name w:val="Piè di pagina Carattere"/>
    <w:basedOn w:val="Carpredefinitoparagrafo"/>
    <w:link w:val="Pidipagina"/>
    <w:rsid w:val="00BE7562"/>
    <w:rPr>
      <w:rFonts w:ascii="Calibri" w:eastAsia="Calibri" w:hAnsi="Calibri" w:cs="Calibri"/>
      <w:bCs w:val="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7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562"/>
    <w:rPr>
      <w:rFonts w:ascii="Calibri" w:eastAsia="Calibri" w:hAnsi="Calibri" w:cs="Calibri"/>
      <w:bCs w:val="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16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Client</cp:lastModifiedBy>
  <cp:revision>8</cp:revision>
  <dcterms:created xsi:type="dcterms:W3CDTF">2018-05-18T17:30:00Z</dcterms:created>
  <dcterms:modified xsi:type="dcterms:W3CDTF">2018-07-20T10:44:00Z</dcterms:modified>
</cp:coreProperties>
</file>